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27"/>
        <w:gridCol w:w="1929"/>
        <w:gridCol w:w="1417"/>
        <w:gridCol w:w="1701"/>
        <w:gridCol w:w="4111"/>
        <w:gridCol w:w="1276"/>
        <w:gridCol w:w="1939"/>
        <w:gridCol w:w="1092"/>
        <w:gridCol w:w="1619"/>
      </w:tblGrid>
      <w:tr w:rsidR="00B22316" w:rsidRPr="00BC5555" w:rsidTr="009D6281">
        <w:trPr>
          <w:trHeight w:val="315"/>
        </w:trPr>
        <w:tc>
          <w:tcPr>
            <w:tcW w:w="1327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r w:rsidRPr="002D74B1">
              <w:t>NPG CONCURSO</w:t>
            </w:r>
          </w:p>
        </w:tc>
        <w:tc>
          <w:tcPr>
            <w:tcW w:w="1929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ENTIDAD COMPRADORA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UNIDAD COMPRADORA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MODALIDAD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DESCRIPCION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r w:rsidRPr="002D74B1">
              <w:t>NIT</w:t>
            </w:r>
          </w:p>
        </w:tc>
        <w:tc>
          <w:tcPr>
            <w:tcW w:w="1939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PROVEEDOR</w:t>
            </w:r>
          </w:p>
        </w:tc>
        <w:tc>
          <w:tcPr>
            <w:tcW w:w="1092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r w:rsidRPr="002D74B1">
              <w:t>ESTATUS</w:t>
            </w:r>
          </w:p>
        </w:tc>
        <w:tc>
          <w:tcPr>
            <w:tcW w:w="1619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r w:rsidRPr="002D74B1">
              <w:t>MONTO NPG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E579093840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Pago de impuestos derechos y tasas por medio de caja chica, de libros de actas del </w:t>
            </w:r>
            <w:proofErr w:type="spellStart"/>
            <w:r>
              <w:rPr>
                <w:rFonts w:ascii="Calibri" w:hAnsi="Calibri" w:cs="Calibri"/>
              </w:rPr>
              <w:t>numero</w:t>
            </w:r>
            <w:proofErr w:type="spellEnd"/>
            <w:r>
              <w:rPr>
                <w:rFonts w:ascii="Calibri" w:hAnsi="Calibri" w:cs="Calibri"/>
              </w:rPr>
              <w:t xml:space="preserve"> 4101 al 4600, para </w:t>
            </w:r>
            <w:proofErr w:type="spellStart"/>
            <w:r>
              <w:rPr>
                <w:rFonts w:ascii="Calibri" w:hAnsi="Calibri" w:cs="Calibri"/>
              </w:rPr>
              <w:t>se</w:t>
            </w:r>
            <w:proofErr w:type="spellEnd"/>
            <w:r>
              <w:rPr>
                <w:rFonts w:ascii="Calibri" w:hAnsi="Calibri" w:cs="Calibri"/>
              </w:rPr>
              <w:t xml:space="preserve"> utilizados en las sesiones del consejo directivo Nacional del Fondo de Desarrollo Indígena Guatemalteco y su unidad ejecutora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637672K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CONTRALORIA GENERAL DE CUENTAS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335.500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E579272192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Pago de envió fiscal correlativo 3601 al 4100 de fecha 11-06-2025 envió fiscal 4-ASCC No. 29687 de 11 de junio de 2025, del Consejo Directivo Nacional por medio de caja chica, a cargo del Fondo de Desarrollo Indígena Guatemalteco y su unidad ejecutora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637672K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CONTRALORIA GENERAL DE CUENTAS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E579472329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tarjetas de responsabilidad del 3101 al 5100 para uso de la </w:t>
            </w:r>
            <w:proofErr w:type="spellStart"/>
            <w:r>
              <w:rPr>
                <w:rFonts w:ascii="Calibri" w:hAnsi="Calibri" w:cs="Calibri"/>
              </w:rPr>
              <w:t>coordinacion</w:t>
            </w:r>
            <w:proofErr w:type="spellEnd"/>
            <w:r>
              <w:rPr>
                <w:rFonts w:ascii="Calibri" w:hAnsi="Calibri" w:cs="Calibri"/>
              </w:rPr>
              <w:t xml:space="preserve"> de inventarios del Fondo de Desarrollo Indígena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637672K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CONTRALORIA GENERAL DE CUENTAS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1,122.000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E579631958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1400 garrafones de agua pura y 71 paquetes de 12 unidades de agua de botella </w:t>
            </w:r>
            <w:proofErr w:type="spellStart"/>
            <w:r>
              <w:rPr>
                <w:rFonts w:ascii="Calibri" w:hAnsi="Calibri" w:cs="Calibri"/>
              </w:rPr>
              <w:t>pet</w:t>
            </w:r>
            <w:proofErr w:type="spellEnd"/>
            <w:r>
              <w:rPr>
                <w:rFonts w:ascii="Calibri" w:hAnsi="Calibri" w:cs="Calibri"/>
              </w:rPr>
              <w:t xml:space="preserve"> 20 onzas, para el uso en oficinas del Fondo de Desarrollo Indígena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2549547K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ENVASADO EN LINEA, SOCIEDAD ANONIMA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24,246.000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E579662454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servicio de impresión de 500 hojas móviles de libro de actas del </w:t>
            </w:r>
            <w:proofErr w:type="spellStart"/>
            <w:r>
              <w:rPr>
                <w:rFonts w:ascii="Calibri" w:hAnsi="Calibri" w:cs="Calibri"/>
              </w:rPr>
              <w:t>numero</w:t>
            </w:r>
            <w:proofErr w:type="spellEnd"/>
            <w:r>
              <w:rPr>
                <w:rFonts w:ascii="Calibri" w:hAnsi="Calibri" w:cs="Calibri"/>
              </w:rPr>
              <w:t xml:space="preserve"> 4101 al 4600, para ser utilizados en las sesiones del Consejo Directivo Nacional del Fondo de Desarrollo </w:t>
            </w:r>
            <w:proofErr w:type="spellStart"/>
            <w:r>
              <w:rPr>
                <w:rFonts w:ascii="Calibri" w:hAnsi="Calibri" w:cs="Calibri"/>
              </w:rPr>
              <w:t>Indigena</w:t>
            </w:r>
            <w:proofErr w:type="spellEnd"/>
            <w:r>
              <w:rPr>
                <w:rFonts w:ascii="Calibri" w:hAnsi="Calibri" w:cs="Calibri"/>
              </w:rPr>
              <w:t xml:space="preserve"> Guatemalteco y su unidad ejecutora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3182045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BENDFELDT,MORALES,AGUIRRE,LOURDES,ELIZABETH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780.000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E580862283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papel toalla, para el uso de las oficinas centrales y sedes regionales del Fondo de Desarrollo Indígena Guatemalteco y su unidad ejecutora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25397400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SUMINISTRO INTERNACIONAL DE MERCADERIAS,SOCIEDAD ANONIMA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11,862.000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E580864642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papel higiénico para uso de las oficinas centrales y regionales del Fondo de Desarrollo Indígena Guatemalteco y su unidad ejecutora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25397400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SUMINISTRO INTERNACIONAL DE MERCADERIAS,SOCIEDAD ANONIMA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10,620.000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E580874281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papelería y utilices de oficina para stock de almacén, para uso de las oficinas centrales y regionales del Fondo de Desarrollo Indígena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38231425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PAPELERIA ARRIOLA, SOCIEDAD ANONIMA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15,360.000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E580891607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papel bond tamaño carta y oficio para </w:t>
            </w:r>
            <w:proofErr w:type="spellStart"/>
            <w:r>
              <w:rPr>
                <w:rFonts w:ascii="Calibri" w:hAnsi="Calibri" w:cs="Calibri"/>
              </w:rPr>
              <w:t>stockde</w:t>
            </w:r>
            <w:proofErr w:type="spellEnd"/>
            <w:r>
              <w:rPr>
                <w:rFonts w:ascii="Calibri" w:hAnsi="Calibri" w:cs="Calibri"/>
              </w:rPr>
              <w:t xml:space="preserve"> almacén, para uso de oficinas centrales y regionales del Fondo de Desarrollo Indígena Guatemalteco y su unidad ejecutora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66658675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LIBRERIAS Y PAPELERIAS SCRIBE, SOCIEDAD ANONIMA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21,800.000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E580914682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sellos para director ejecutivo y el presidente del consejo directivo nacional con el propósito de utilizarlos en documentos oficiales del Fondo de Desarrollo Indígena Guatemalteco y su unidad ejecutora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115768904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RM DESIGNS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345.000</w:t>
            </w:r>
          </w:p>
        </w:tc>
      </w:tr>
      <w:tr w:rsidR="004151D7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E580938549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23584696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MERIDA,FUENTES,,DOLMAN,ORLANDO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151D7" w:rsidRDefault="004151D7" w:rsidP="004151D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1,125.000</w:t>
            </w:r>
          </w:p>
        </w:tc>
      </w:tr>
      <w:tr w:rsidR="009D6281" w:rsidRPr="00BC5555" w:rsidTr="001A5FF5">
        <w:trPr>
          <w:trHeight w:val="315"/>
        </w:trPr>
        <w:tc>
          <w:tcPr>
            <w:tcW w:w="14792" w:type="dxa"/>
            <w:gridSpan w:val="8"/>
            <w:shd w:val="clear" w:color="auto" w:fill="auto"/>
            <w:noWrap/>
            <w:vAlign w:val="bottom"/>
          </w:tcPr>
          <w:p w:rsidR="009D6281" w:rsidRPr="009D6281" w:rsidRDefault="009D6281" w:rsidP="009D6281">
            <w:pPr>
              <w:jc w:val="right"/>
              <w:rPr>
                <w:rFonts w:ascii="Calibri" w:hAnsi="Calibri" w:cs="Calibri"/>
                <w:b/>
              </w:rPr>
            </w:pPr>
            <w:r w:rsidRPr="009D6281">
              <w:rPr>
                <w:rFonts w:ascii="Calibri" w:hAnsi="Calibri" w:cs="Calibri"/>
                <w:b/>
              </w:rPr>
              <w:t>Totales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Pr="009D6281" w:rsidRDefault="004151D7" w:rsidP="004151D7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86,138.000</w:t>
            </w:r>
            <w:bookmarkStart w:id="0" w:name="_GoBack"/>
            <w:bookmarkEnd w:id="0"/>
          </w:p>
        </w:tc>
      </w:tr>
    </w:tbl>
    <w:p w:rsidR="007F58B6" w:rsidRPr="00D316FB" w:rsidRDefault="007F58B6" w:rsidP="00D316FB"/>
    <w:sectPr w:rsidR="007F58B6" w:rsidRPr="00D316FB" w:rsidSect="00716F8C">
      <w:headerReference w:type="default" r:id="rId6"/>
      <w:footerReference w:type="default" r:id="rId7"/>
      <w:pgSz w:w="17861" w:h="12185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B1" w:rsidRDefault="00D216B1" w:rsidP="002428E0">
      <w:pPr>
        <w:spacing w:after="0" w:line="240" w:lineRule="auto"/>
      </w:pPr>
      <w:r>
        <w:separator/>
      </w:r>
    </w:p>
  </w:endnote>
  <w:endnote w:type="continuationSeparator" w:id="0">
    <w:p w:rsidR="00D216B1" w:rsidRDefault="00D216B1" w:rsidP="0024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784" w:rsidRDefault="0051478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8562BEA" wp14:editId="5CDF80DB">
          <wp:simplePos x="0" y="0"/>
          <wp:positionH relativeFrom="page">
            <wp:posOffset>-4953</wp:posOffset>
          </wp:positionH>
          <wp:positionV relativeFrom="page">
            <wp:posOffset>6859905</wp:posOffset>
          </wp:positionV>
          <wp:extent cx="11332769" cy="877824"/>
          <wp:effectExtent l="0" t="0" r="2540" b="0"/>
          <wp:wrapTight wrapText="bothSides">
            <wp:wrapPolygon edited="0">
              <wp:start x="0" y="0"/>
              <wp:lineTo x="0" y="21100"/>
              <wp:lineTo x="21569" y="21100"/>
              <wp:lineTo x="2156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2024-2028-SCSPR INGUAT (1)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44"/>
                  <a:stretch/>
                </pic:blipFill>
                <pic:spPr bwMode="auto">
                  <a:xfrm>
                    <a:off x="0" y="0"/>
                    <a:ext cx="11332769" cy="877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B1" w:rsidRDefault="00D216B1" w:rsidP="002428E0">
      <w:pPr>
        <w:spacing w:after="0" w:line="240" w:lineRule="auto"/>
      </w:pPr>
      <w:r>
        <w:separator/>
      </w:r>
    </w:p>
  </w:footnote>
  <w:footnote w:type="continuationSeparator" w:id="0">
    <w:p w:rsidR="00D216B1" w:rsidRDefault="00D216B1" w:rsidP="0024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E0" w:rsidRDefault="002428E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E1F28AE" wp14:editId="2C684B51">
          <wp:simplePos x="0" y="0"/>
          <wp:positionH relativeFrom="page">
            <wp:posOffset>-21285</wp:posOffset>
          </wp:positionH>
          <wp:positionV relativeFrom="page">
            <wp:posOffset>0</wp:posOffset>
          </wp:positionV>
          <wp:extent cx="11359515" cy="1499235"/>
          <wp:effectExtent l="0" t="0" r="0" b="5715"/>
          <wp:wrapTight wrapText="bothSides">
            <wp:wrapPolygon edited="0">
              <wp:start x="0" y="0"/>
              <wp:lineTo x="0" y="21408"/>
              <wp:lineTo x="21553" y="21408"/>
              <wp:lineTo x="215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2024-2028-SCSPR INGUAT (1)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797"/>
                  <a:stretch/>
                </pic:blipFill>
                <pic:spPr bwMode="auto">
                  <a:xfrm>
                    <a:off x="0" y="0"/>
                    <a:ext cx="11359515" cy="1499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0"/>
    <w:rsid w:val="00075589"/>
    <w:rsid w:val="001735AA"/>
    <w:rsid w:val="001D37CF"/>
    <w:rsid w:val="00211883"/>
    <w:rsid w:val="00216462"/>
    <w:rsid w:val="002428E0"/>
    <w:rsid w:val="00244ACF"/>
    <w:rsid w:val="0031087D"/>
    <w:rsid w:val="0035453C"/>
    <w:rsid w:val="003A38BE"/>
    <w:rsid w:val="004151D7"/>
    <w:rsid w:val="004B205D"/>
    <w:rsid w:val="00514784"/>
    <w:rsid w:val="00533225"/>
    <w:rsid w:val="005E411F"/>
    <w:rsid w:val="00633ACD"/>
    <w:rsid w:val="00666860"/>
    <w:rsid w:val="00716F8C"/>
    <w:rsid w:val="00756BFB"/>
    <w:rsid w:val="00757D08"/>
    <w:rsid w:val="007B40FC"/>
    <w:rsid w:val="007F58B6"/>
    <w:rsid w:val="009354A7"/>
    <w:rsid w:val="009A30C2"/>
    <w:rsid w:val="009D6281"/>
    <w:rsid w:val="00A1264D"/>
    <w:rsid w:val="00A17B98"/>
    <w:rsid w:val="00B22316"/>
    <w:rsid w:val="00BC5555"/>
    <w:rsid w:val="00C84EF0"/>
    <w:rsid w:val="00D216B1"/>
    <w:rsid w:val="00D316FB"/>
    <w:rsid w:val="00DF7046"/>
    <w:rsid w:val="00E0144D"/>
    <w:rsid w:val="00E66C56"/>
    <w:rsid w:val="00E91608"/>
    <w:rsid w:val="00EB2608"/>
    <w:rsid w:val="00EB4914"/>
    <w:rsid w:val="00EF5282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AB4740"/>
  <w15:chartTrackingRefBased/>
  <w15:docId w15:val="{7C641EB4-9774-43C5-8902-27E3A628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E0"/>
  </w:style>
  <w:style w:type="paragraph" w:styleId="Piedepgina">
    <w:name w:val="footer"/>
    <w:basedOn w:val="Normal"/>
    <w:link w:val="PiedepginaCar"/>
    <w:uiPriority w:val="99"/>
    <w:unhideWhenUsed/>
    <w:rsid w:val="0024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E0"/>
  </w:style>
  <w:style w:type="table" w:styleId="Tablaconcuadrcula">
    <w:name w:val="Table Grid"/>
    <w:basedOn w:val="Tablanormal"/>
    <w:uiPriority w:val="39"/>
    <w:rsid w:val="009A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Ana Elizabeth Ramírez Santos</cp:lastModifiedBy>
  <cp:revision>8</cp:revision>
  <cp:lastPrinted>2026-04-06T21:17:00Z</cp:lastPrinted>
  <dcterms:created xsi:type="dcterms:W3CDTF">2025-11-06T16:30:00Z</dcterms:created>
  <dcterms:modified xsi:type="dcterms:W3CDTF">2026-04-06T21:18:00Z</dcterms:modified>
</cp:coreProperties>
</file>